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Device name</w:t>
      </w:r>
    </w:p>
    <w:p>
      <w:pPr>
        <w:numPr>
          <w:ilvl w:val="0"/>
          <w:numId w:val="0"/>
        </w:numPr>
        <w:adjustRightInd w:val="0"/>
        <w:snapToGrid w:val="0"/>
        <w:spacing w:line="360" w:lineRule="auto"/>
        <w:ind w:leftChars="0"/>
        <w:rPr>
          <w:rFonts w:hint="default" w:ascii="Times New Roman" w:hAnsi="Times New Roman" w:eastAsia="黑体" w:cs="Times New Roman"/>
          <w:b w:val="0"/>
          <w:bCs w:val="0"/>
          <w:color w:val="auto"/>
          <w:sz w:val="24"/>
          <w:highlight w:val="none"/>
          <w:u w:val="none"/>
        </w:rPr>
      </w:pPr>
      <w:r>
        <w:rPr>
          <w:rFonts w:hint="default" w:ascii="Times New Roman" w:hAnsi="Times New Roman" w:eastAsia="黑体" w:cs="Times New Roman"/>
          <w:b w:val="0"/>
          <w:bCs w:val="0"/>
          <w:color w:val="auto"/>
          <w:sz w:val="24"/>
          <w:highlight w:val="none"/>
          <w:u w:val="none"/>
        </w:rPr>
        <w:t>Surgical Electrodes</w:t>
      </w:r>
    </w:p>
    <w:p>
      <w:pPr>
        <w:pStyle w:val="2"/>
        <w:rPr>
          <w:rFonts w:hint="default" w:ascii="Times New Roman" w:hAnsi="Times New Roman" w:cs="Times New Roman"/>
        </w:rPr>
      </w:pPr>
    </w:p>
    <w:p>
      <w:pPr>
        <w:numPr>
          <w:ilvl w:val="0"/>
          <w:numId w:val="1"/>
        </w:numPr>
        <w:adjustRightInd w:val="0"/>
        <w:snapToGrid w:val="0"/>
        <w:spacing w:line="360" w:lineRule="auto"/>
        <w:ind w:left="0" w:leftChars="0" w:firstLine="0" w:firstLineChars="0"/>
        <w:rPr>
          <w:rFonts w:hint="default" w:ascii="Times New Roman" w:hAnsi="Times New Roman" w:eastAsia="黑体" w:cs="Times New Roman"/>
          <w:b/>
          <w:bCs/>
          <w:color w:val="auto"/>
          <w:sz w:val="24"/>
          <w:highlight w:val="none"/>
          <w:u w:val="none"/>
          <w:lang w:val="en-US" w:eastAsia="zh-CN"/>
        </w:rPr>
      </w:pPr>
      <w:r>
        <w:rPr>
          <w:rFonts w:hint="default" w:ascii="Times New Roman" w:hAnsi="Times New Roman" w:eastAsia="黑体" w:cs="Times New Roman"/>
          <w:b/>
          <w:bCs/>
          <w:color w:val="auto"/>
          <w:sz w:val="24"/>
          <w:highlight w:val="none"/>
          <w:u w:val="none"/>
          <w:lang w:val="en-US" w:eastAsia="zh-CN"/>
        </w:rPr>
        <w:t>Contraindications</w:t>
      </w:r>
    </w:p>
    <w:p>
      <w:pPr>
        <w:numPr>
          <w:ilvl w:val="0"/>
          <w:numId w:val="0"/>
        </w:numPr>
        <w:spacing w:line="360" w:lineRule="auto"/>
        <w:jc w:val="left"/>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Surgical Electrodes, as accessories for high-frequency surgical equipment, have the same contraindications as high-frequency surgical equipment. Patients who install pacemakers are prohibited from using them.</w:t>
      </w:r>
    </w:p>
    <w:p>
      <w:pPr>
        <w:pStyle w:val="2"/>
        <w:rPr>
          <w:rFonts w:hint="default" w:ascii="Times New Roman" w:hAnsi="Times New Roman" w:cs="Times New Roman"/>
          <w:lang w:val="en-US" w:eastAsia="zh-CN"/>
        </w:rPr>
      </w:pPr>
    </w:p>
    <w:p>
      <w:pPr>
        <w:numPr>
          <w:ilvl w:val="0"/>
          <w:numId w:val="1"/>
        </w:numPr>
        <w:adjustRightInd w:val="0"/>
        <w:snapToGrid w:val="0"/>
        <w:spacing w:line="360" w:lineRule="auto"/>
        <w:ind w:left="0" w:leftChars="0" w:firstLine="0" w:firstLineChars="0"/>
        <w:rPr>
          <w:rFonts w:hint="default" w:ascii="Times New Roman" w:hAnsi="Times New Roman" w:eastAsia="黑体" w:cs="Times New Roman"/>
          <w:b/>
          <w:bCs/>
          <w:color w:val="auto"/>
          <w:sz w:val="24"/>
          <w:highlight w:val="none"/>
          <w:u w:val="none"/>
          <w:lang w:val="en-US" w:eastAsia="zh-CN"/>
        </w:rPr>
      </w:pPr>
      <w:r>
        <w:rPr>
          <w:rFonts w:hint="default" w:ascii="Times New Roman" w:hAnsi="Times New Roman" w:eastAsia="黑体" w:cs="Times New Roman"/>
          <w:b/>
          <w:bCs/>
          <w:color w:val="auto"/>
          <w:sz w:val="24"/>
          <w:highlight w:val="none"/>
          <w:u w:val="none"/>
          <w:lang w:val="en-US" w:eastAsia="zh-CN"/>
        </w:rPr>
        <w:t>Note</w:t>
      </w:r>
    </w:p>
    <w:p>
      <w:pPr>
        <w:pStyle w:val="2"/>
        <w:spacing w:line="240" w:lineRule="auto"/>
        <w:ind w:left="0" w:leftChars="0" w:firstLine="0" w:firstLineChars="0"/>
        <w:rPr>
          <w:rFonts w:hint="default" w:ascii="Times New Roman" w:hAnsi="Times New Roman" w:cs="Times New Roman"/>
          <w:lang w:val="en-US" w:eastAsia="zh-CN"/>
        </w:rPr>
      </w:pPr>
      <w:r>
        <w:rPr>
          <w:rFonts w:hint="default" w:ascii="Times New Roman" w:hAnsi="Times New Roman" w:cs="Times New Roman"/>
          <w:lang w:val="en-US" w:eastAsia="zh-CN"/>
        </w:rPr>
        <w:t xml:space="preserve">a. </w:t>
      </w:r>
      <w:r>
        <w:rPr>
          <w:rFonts w:hint="default" w:ascii="Times New Roman" w:hAnsi="Times New Roman" w:cs="Times New Roman"/>
        </w:rPr>
        <w:t>The product is provided in a sterile state, please use it within the validity period. It is strictly prohibited to use if the packaging is damaged.</w:t>
      </w:r>
    </w:p>
    <w:p>
      <w:pPr>
        <w:pStyle w:val="2"/>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b. The foot switch can only be pressed when the electrode head extends out of the outer tube and the distance from the working channel exceeds 10mm.</w:t>
      </w:r>
    </w:p>
    <w:p>
      <w:pPr>
        <w:pStyle w:val="2"/>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c. Low output power should be used as much as possible when the goal can be achieved.</w:t>
      </w:r>
    </w:p>
    <w:p>
      <w:pPr>
        <w:pStyle w:val="2"/>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d. Temporarily unused Surgical Electrodes should be placed in isolation from the patient; To prevent contact with other leads of the patient.</w:t>
      </w:r>
    </w:p>
    <w:p>
      <w:pPr>
        <w:pStyle w:val="2"/>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e. Patients should not come into contact with grounded or metal objects with significant capacitance to the ground, such as surgical table brackets. Therefore, it is recommended to use anti-static partitions.</w:t>
      </w:r>
    </w:p>
    <w:p>
      <w:pPr>
        <w:pStyle w:val="2"/>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f. The skin-to-skin contact should be avoided, e.</w:t>
      </w:r>
      <w:r>
        <w:rPr>
          <w:rFonts w:hint="eastAsia" w:ascii="Times New Roman" w:hAnsi="Times New Roman" w:cs="Times New Roman"/>
          <w:lang w:val="en-US" w:eastAsia="zh-CN"/>
        </w:rPr>
        <w:t xml:space="preserve"> </w:t>
      </w:r>
      <w:r>
        <w:rPr>
          <w:rFonts w:hint="default" w:ascii="Times New Roman" w:hAnsi="Times New Roman" w:cs="Times New Roman"/>
          <w:lang w:val="en-US" w:eastAsia="zh-CN"/>
        </w:rPr>
        <w:t>g.,</w:t>
      </w:r>
      <w:bookmarkStart w:id="0" w:name="_GoBack"/>
      <w:bookmarkEnd w:id="0"/>
      <w:r>
        <w:rPr>
          <w:rFonts w:hint="default" w:ascii="Times New Roman" w:hAnsi="Times New Roman" w:cs="Times New Roman"/>
          <w:lang w:val="en-US" w:eastAsia="zh-CN"/>
        </w:rPr>
        <w:t xml:space="preserve"> insert a piece of dry gauze between the arm and the body of the patient.</w:t>
      </w:r>
    </w:p>
    <w:p>
      <w:pPr>
        <w:pStyle w:val="2"/>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g. Before the operation by using high frequency surgical equipment, the solvent of the flammable detergent or adhesives should evaporate.Draw attention to the risk of the fire caused by the contained gases</w:t>
      </w:r>
      <w:r>
        <w:rPr>
          <w:rFonts w:hint="default" w:ascii="Times New Roman" w:hAnsi="Times New Roman" w:cs="Times New Roman"/>
          <w:lang w:val="en-US" w:eastAsia="zh-CN"/>
        </w:rPr>
        <w:t>. Some materials such as the absorbent cotton full of oxygen or gauze may catch fire, caused by the sparks generated during the normal use of the equipment.</w:t>
      </w:r>
    </w:p>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AA3B55"/>
    <w:multiLevelType w:val="multilevel"/>
    <w:tmpl w:val="D5AA3B55"/>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MTE1MTJiMTYyYTUwZWFjOTk1N2I5MWUwY2JlMDgifQ=="/>
  </w:docVars>
  <w:rsids>
    <w:rsidRoot w:val="3C9B5C70"/>
    <w:rsid w:val="2AB20B05"/>
    <w:rsid w:val="39052504"/>
    <w:rsid w:val="3C9B5C70"/>
    <w:rsid w:val="69E93615"/>
    <w:rsid w:val="6E714356"/>
    <w:rsid w:val="78920F2F"/>
    <w:rsid w:val="7B07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00" w:lineRule="exact"/>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237</Words>
  <Characters>1252</Characters>
  <Lines>0</Lines>
  <Paragraphs>0</Paragraphs>
  <TotalTime>1</TotalTime>
  <ScaleCrop>false</ScaleCrop>
  <LinksUpToDate>false</LinksUpToDate>
  <CharactersWithSpaces>1477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2025-07-11T02:03:00Z</dcterms:created>
  <dc:creator>yinjh</dc:creator>
  <cp:lastModifiedBy>Broken</cp:lastModifiedBy>
  <dcterms:modified xsi:type="dcterms:W3CDTF">2025-07-11T07:51:03Z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11096C189F2C40D4BD074B312D7368B4_11</vt:lpwstr>
  </property>
</Properties>
</file>