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128270</wp:posOffset>
                </wp:positionV>
                <wp:extent cx="5281295" cy="1449070"/>
                <wp:effectExtent l="4445" t="4445" r="1016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295" cy="1449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 w:eastAsiaTheme="majorEastAsia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 xml:space="preserve">Controlled flocculation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Wetting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 xml:space="preserve">&amp;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D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ispersing agents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pacing w:val="-12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 w:cs="Times New Roman" w:eastAsiaTheme="majorEastAsia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 w:eastAsiaTheme="majorEastAsia"/>
                                <w:b/>
                                <w:bCs/>
                                <w:sz w:val="16"/>
                                <w:szCs w:val="16"/>
                                <w:lang w:val="en-US" w:eastAsia="zh-CN"/>
                              </w:rPr>
                              <w:t xml:space="preserve">  (Solvent type)  </w:t>
                            </w:r>
                            <w:r>
                              <w:rPr>
                                <w:rFonts w:hint="eastAsia" w:ascii="Times New Roman" w:hAnsi="Times New Roman" w:cs="Times New Roman" w:eastAsiaTheme="majorEastAsia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KEPERDISP®-6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08</w:t>
                            </w:r>
                          </w:p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  <w:lang w:val="en-US" w:eastAsia="zh-CN"/>
                              </w:rPr>
                              <w:t>The universal dispersant, Excellent compatibility, can be widely used in a variety of resins.excellent effect on preventing the floating color of mixed grinding (titanium dioxide and other pigments）.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10.1pt;height:114.1pt;width:415.85pt;z-index:251658240;mso-width-relative:page;mso-height-relative:page;" fillcolor="#9DC3E6 [1940]" filled="t" stroked="t" coordsize="21600,21600" o:gfxdata="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Ja&#10;SXnYAAAACAEAAA8AAAAAAAAAAQAgAAAAIgAAAGRycy9kb3ducmV2LnhtbFBLAQIUABQAAAAIAIdO&#10;4kCGJOFqXAIAAKM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cs="Times New Roman" w:eastAsiaTheme="majorEastAsia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 xml:space="preserve">Controlled flocculation 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Wetting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 xml:space="preserve">&amp; 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>D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auto"/>
                          <w:sz w:val="20"/>
                          <w:szCs w:val="20"/>
                          <w:lang w:val="en-US" w:eastAsia="zh-CN"/>
                        </w:rPr>
                        <w:t>ispersing agents</w:t>
                      </w:r>
                      <w:r>
                        <w:rPr>
                          <w:rFonts w:hint="default" w:ascii="Times New Roman" w:hAnsi="Times New Roman" w:eastAsia="黑体" w:cs="Times New Roman"/>
                          <w:spacing w:val="-12"/>
                          <w:sz w:val="20"/>
                          <w:szCs w:val="2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Times New Roman" w:hAnsi="Times New Roman" w:cs="Times New Roman" w:eastAsiaTheme="majorEastAsia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cs="Times New Roman" w:eastAsiaTheme="majorEastAsia"/>
                          <w:b/>
                          <w:bCs/>
                          <w:sz w:val="16"/>
                          <w:szCs w:val="16"/>
                          <w:lang w:val="en-US" w:eastAsia="zh-CN"/>
                        </w:rPr>
                        <w:t xml:space="preserve">  (Solvent type)  </w:t>
                      </w:r>
                      <w:r>
                        <w:rPr>
                          <w:rFonts w:hint="eastAsia" w:ascii="Times New Roman" w:hAnsi="Times New Roman" w:cs="Times New Roman" w:eastAsiaTheme="majorEastAsia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KEPERDISP®-6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08</w:t>
                      </w:r>
                    </w:p>
                    <w:p>
                      <w:pP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0"/>
                          <w:lang w:val="en-US" w:eastAsia="zh-CN"/>
                        </w:rPr>
                        <w:t>The universal dispersant, Excellent compatibility, can be widely used in a variety of resins.excellent effect on preventing the floating color of mixed grinding (titanium dioxide and other pigments）.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108" w:line="320" w:lineRule="exact"/>
        <w:textAlignment w:val="center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Product overview</w:t>
      </w:r>
    </w:p>
    <w:p>
      <w:pPr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KEPERDISP®-6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08 is an anti-floating color dispersant without organicsilicon.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excellent effect on preventing the floating color of mixed grinding of titanium dioxide and other pigments.</w:t>
      </w:r>
    </w:p>
    <w:p>
      <w:pP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>Physical data</w:t>
      </w:r>
    </w:p>
    <w:p>
      <w:pPr>
        <w:tabs>
          <w:tab w:val="left" w:pos="6080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pacing w:val="-12"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pacing w:val="-12"/>
          <w:sz w:val="20"/>
          <w:szCs w:val="20"/>
          <w:lang w:val="en-US" w:eastAsia="zh-CN"/>
        </w:rPr>
        <w:t xml:space="preserve">. Effective ingredient: </w:t>
      </w:r>
      <w:r>
        <w:rPr>
          <w:rFonts w:hint="eastAsia" w:ascii="Times New Roman" w:hAnsi="Times New Roman" w:eastAsia="黑体" w:cs="Times New Roman"/>
          <w:spacing w:val="-12"/>
          <w:sz w:val="20"/>
          <w:szCs w:val="20"/>
          <w:lang w:val="en-US" w:eastAsia="zh-CN"/>
        </w:rPr>
        <w:t>Unsaturated polycarboxylic acid</w:t>
      </w:r>
      <w:r>
        <w:rPr>
          <w:rFonts w:hint="default" w:ascii="Times New Roman" w:hAnsi="Times New Roman" w:eastAsia="黑体" w:cs="Times New Roman"/>
          <w:spacing w:val="-12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黑体" w:cs="Times New Roman"/>
          <w:spacing w:val="-12"/>
          <w:sz w:val="20"/>
          <w:szCs w:val="2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-12"/>
          <w:sz w:val="20"/>
          <w:szCs w:val="20"/>
          <w:lang w:val="en-US" w:eastAsia="zh-CN"/>
        </w:rPr>
        <w:t xml:space="preserve">. Content:  </w:t>
      </w:r>
      <w:r>
        <w:rPr>
          <w:rFonts w:hint="eastAsia" w:ascii="Times New Roman" w:hAnsi="Times New Roman" w:eastAsia="黑体" w:cs="Times New Roman"/>
          <w:spacing w:val="-12"/>
          <w:sz w:val="20"/>
          <w:szCs w:val="20"/>
          <w:lang w:val="en-US" w:eastAsia="zh-CN"/>
        </w:rPr>
        <w:t>50</w:t>
      </w:r>
      <w:r>
        <w:rPr>
          <w:rFonts w:hint="default" w:ascii="Times New Roman" w:hAnsi="Times New Roman" w:eastAsia="黑体" w:cs="Times New Roman"/>
          <w:spacing w:val="-7"/>
          <w:sz w:val="20"/>
          <w:szCs w:val="20"/>
        </w:rPr>
        <w:t>%</w:t>
      </w:r>
      <w:r>
        <w:rPr>
          <w:rFonts w:hint="default" w:ascii="Times New Roman" w:hAnsi="Times New Roman" w:eastAsia="黑体" w:cs="Times New Roman"/>
          <w:spacing w:val="-12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黑体" w:cs="Times New Roman"/>
          <w:spacing w:val="-12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pacing w:val="-12"/>
          <w:sz w:val="20"/>
          <w:szCs w:val="20"/>
          <w:lang w:val="en-US" w:eastAsia="zh-CN"/>
        </w:rPr>
        <w:t xml:space="preserve">.Solvent:   </w:t>
      </w:r>
      <w:r>
        <w:rPr>
          <w:rFonts w:hint="eastAsia" w:ascii="Times New Roman" w:hAnsi="Times New Roman" w:eastAsia="黑体" w:cs="Times New Roman"/>
          <w:spacing w:val="-12"/>
          <w:sz w:val="20"/>
          <w:szCs w:val="20"/>
          <w:lang w:val="en-US" w:eastAsia="zh-CN"/>
        </w:rPr>
        <w:t xml:space="preserve">MIBK/ xylene          </w:t>
      </w:r>
      <w:r>
        <w:rPr>
          <w:rFonts w:hint="default" w:ascii="Times New Roman" w:hAnsi="Times New Roman" w:eastAsia="黑体" w:cs="Times New Roman"/>
          <w:spacing w:val="-12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黑体" w:cs="Times New Roman"/>
          <w:spacing w:val="-11"/>
          <w:sz w:val="20"/>
          <w:szCs w:val="20"/>
          <w:lang w:val="en-US" w:eastAsia="zh-CN"/>
        </w:rPr>
        <w:t xml:space="preserve">                                                                         </w:t>
      </w:r>
    </w:p>
    <w:p>
      <w:pPr>
        <w:tabs>
          <w:tab w:val="left" w:pos="6080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eastAsia="zh-CN"/>
        </w:rPr>
        <w:t xml:space="preserve">roduct 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>features</w:t>
      </w:r>
    </w:p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after="0" w:afterLines="10" w:line="216" w:lineRule="auto"/>
        <w:textAlignment w:val="baseline"/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1.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Universal dispersant, silicone-free. Excellent compatibility, can be widely used in various resin systems.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after="0" w:afterLines="10" w:line="216" w:lineRule="auto"/>
        <w:textAlignment w:val="baseline"/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2.Can disperse inorganic pigments and organic pigments in the primer and top paint, and the                                                                                dispersion effect of matting powder is also excellent.</w:t>
      </w:r>
    </w:p>
    <w:p>
      <w:pPr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3.Effectively improve grinding efficiency, reduce viscosity,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excellent effect on preventing the floating color when mixed grinding of titanium dioxide and other pigments.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after="0" w:afterLines="10" w:line="216" w:lineRule="auto"/>
        <w:textAlignment w:val="baseline"/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4.Has no adverse effect to the gloss and rheology of the coating.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after="0" w:afterLines="10" w:line="216" w:lineRule="auto"/>
        <w:textAlignment w:val="baseline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after="0" w:afterLines="20" w:line="193" w:lineRule="auto"/>
        <w:textAlignment w:val="baseline"/>
        <w:rPr>
          <w:rFonts w:hint="default" w:ascii="Times New Roman" w:hAnsi="Times New Roman" w:cs="Times New Roman"/>
          <w:kern w:val="2"/>
          <w:sz w:val="20"/>
          <w:szCs w:val="20"/>
          <w:lang w:val="en-US" w:eastAsia="zh-CN" w:bidi="ar-SA"/>
        </w:rPr>
      </w:pPr>
      <w:bookmarkStart w:id="0" w:name="_GoBack"/>
      <w:bookmarkEnd w:id="0"/>
    </w:p>
    <w:p>
      <w:pPr>
        <w:tabs>
          <w:tab w:val="left" w:pos="6080"/>
        </w:tabs>
        <w:jc w:val="left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-SA"/>
        </w:rPr>
        <w:t>Additive amount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(Supply form)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after="0" w:afterLines="20" w:line="193" w:lineRule="auto"/>
        <w:textAlignment w:val="baseline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For the total amount of titanium dioxide: 0.5-1%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193" w:lineRule="auto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For the total amount of inorganic pigments:1-5%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193" w:lineRule="auto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For the total amount of organic pigments: 10-50%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193" w:lineRule="auto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The best dosage needs to be obtained through testing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9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193" w:lineRule="auto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</w:t>
      </w:r>
    </w:p>
    <w:p>
      <w:pPr>
        <w:tabs>
          <w:tab w:val="left" w:pos="6080"/>
        </w:tabs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Application field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40" w:lineRule="auto"/>
        <w:textAlignment w:val="center"/>
        <w:rPr>
          <w:rFonts w:hint="eastAsia" w:ascii="Times New Roman" w:hAnsi="Times New Roman" w:eastAsia="黑体" w:cs="Times New Roman"/>
          <w:spacing w:val="-1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0"/>
          <w:sz w:val="20"/>
          <w:szCs w:val="20"/>
          <w:lang w:val="en-US" w:eastAsia="zh-CN"/>
        </w:rPr>
        <w:t>Used to disperse inorganic and organic pigments in solvent-based systems, especially suitable for mixed grinding systems.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line="240" w:lineRule="auto"/>
        <w:textAlignment w:val="center"/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 xml:space="preserve">                 </w:t>
      </w:r>
    </w:p>
    <w:p>
      <w:pPr>
        <w:tabs>
          <w:tab w:val="left" w:pos="6080"/>
        </w:tabs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Shelf life and packaging</w:t>
      </w:r>
    </w:p>
    <w:p>
      <w:pPr>
        <w:numPr>
          <w:ilvl w:val="0"/>
          <w:numId w:val="1"/>
        </w:numPr>
        <w:spacing w:before="78" w:line="213" w:lineRule="auto"/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 xml:space="preserve">The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>shelf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 xml:space="preserve"> life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 xml:space="preserve"> is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two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>year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>s,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 xml:space="preserve"> starting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 xml:space="preserve">from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 xml:space="preserve">the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 xml:space="preserve">date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 xml:space="preserve">of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eastAsia="zh-CN"/>
        </w:rPr>
        <w:t>production</w:t>
      </w:r>
      <w:r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  <w:t>.When  stored, the  container should  be  sealed  well, and  the  temperature  should  be  between  0-40</w:t>
      </w:r>
      <w:r>
        <w:rPr>
          <w:rFonts w:hint="default" w:ascii="Times New Roman" w:hAnsi="Times New Roman" w:eastAsia="宋体" w:cs="Times New Roman"/>
          <w:spacing w:val="-19"/>
          <w:sz w:val="20"/>
          <w:szCs w:val="20"/>
          <w:lang w:val="en-US" w:eastAsia="zh-CN"/>
        </w:rPr>
        <w:t>℃</w:t>
      </w:r>
    </w:p>
    <w:p>
      <w:pPr>
        <w:numPr>
          <w:ilvl w:val="0"/>
          <w:numId w:val="1"/>
        </w:numPr>
        <w:spacing w:before="78" w:line="213" w:lineRule="auto"/>
        <w:rPr>
          <w:rFonts w:hint="default" w:ascii="Times New Roman" w:hAnsi="Times New Roman" w:eastAsia="黑体" w:cs="Times New Roman"/>
          <w:spacing w:val="-19"/>
          <w:sz w:val="20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7"/>
          <w:sz w:val="20"/>
          <w:szCs w:val="20"/>
          <w:lang w:val="en-US" w:eastAsia="zh-CN"/>
        </w:rPr>
        <w:t xml:space="preserve"> Packaging: 25KG/</w:t>
      </w:r>
      <w:r>
        <w:rPr>
          <w:rFonts w:hint="eastAsia" w:ascii="Times New Roman" w:hAnsi="Times New Roman" w:eastAsia="黑体" w:cs="Times New Roman"/>
          <w:spacing w:val="-7"/>
          <w:sz w:val="20"/>
          <w:szCs w:val="20"/>
          <w:lang w:val="en-US" w:eastAsia="zh-CN"/>
        </w:rPr>
        <w:t>18</w:t>
      </w:r>
      <w:r>
        <w:rPr>
          <w:rFonts w:hint="default" w:ascii="Times New Roman" w:hAnsi="Times New Roman" w:eastAsia="黑体" w:cs="Times New Roman"/>
          <w:spacing w:val="-7"/>
          <w:sz w:val="20"/>
          <w:szCs w:val="20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pacing w:val="-7"/>
          <w:sz w:val="20"/>
          <w:szCs w:val="20"/>
        </w:rPr>
        <w:t xml:space="preserve"> KG </w:t>
      </w:r>
      <w:r>
        <w:rPr>
          <w:rFonts w:hint="eastAsia" w:ascii="Times New Roman" w:hAnsi="Times New Roman" w:eastAsia="黑体" w:cs="Times New Roman"/>
          <w:spacing w:val="-7"/>
          <w:sz w:val="20"/>
          <w:szCs w:val="20"/>
          <w:lang w:val="en-US" w:eastAsia="zh-CN"/>
        </w:rPr>
        <w:t>,Iron bucket</w:t>
      </w:r>
    </w:p>
    <w:p>
      <w:pPr>
        <w:tabs>
          <w:tab w:val="left" w:pos="6080"/>
        </w:tabs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tabs>
          <w:tab w:val="left" w:pos="6080"/>
        </w:tabs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tabs>
          <w:tab w:val="left" w:pos="6080"/>
        </w:tabs>
        <w:jc w:val="left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117475</wp:posOffset>
                </wp:positionV>
                <wp:extent cx="1501140" cy="421640"/>
                <wp:effectExtent l="4445" t="4445" r="1841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6015" y="8778875"/>
                          <a:ext cx="1501140" cy="4216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2E75B6" w:themeColor="accent1" w:themeShade="BF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7E6E6" w:themeColor="background2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E7E6E6" w:themeColor="background2"/>
                                <w:sz w:val="28"/>
                                <w:szCs w:val="28"/>
                                <w:highlight w:val="none"/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  <w:t>Download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5B6" w:themeColor="accent1" w:themeShade="BF"/>
                                <w:sz w:val="28"/>
                                <w:szCs w:val="28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E7E6E6" w:themeColor="background2"/>
                                <w:sz w:val="28"/>
                                <w:szCs w:val="28"/>
                                <w:highlight w:val="none"/>
                                <w14:textFill>
                                  <w14:solidFill>
                                    <w14:schemeClr w14:val="bg2"/>
                                  </w14:solidFill>
                                </w14:textFill>
                              </w:rP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9.25pt;height:33.2pt;width:118.2pt;z-index:251660288;mso-width-relative:page;mso-height-relative:page;" fillcolor="#5B9BD5 [3204]" filled="t" stroked="t" coordsize="21600,21600" o:gfxdata="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dRWFrXAAAACAEAAA8AAAAAAAAA&#10;AQAgAAAAIgAAAGRycy9kb3ducmV2LnhtbFBLAQIUABQAAAAIAIdO4kDj3jebSwIAAHU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2E75B6" w:themeColor="accent1" w:themeShade="BF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E7E6E6" w:themeColor="background2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E7E6E6" w:themeColor="background2"/>
                          <w:sz w:val="28"/>
                          <w:szCs w:val="28"/>
                          <w:highlight w:val="none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Download</w:t>
                      </w:r>
                      <w:r>
                        <w:rPr>
                          <w:rFonts w:hint="eastAsia"/>
                          <w:b/>
                          <w:bCs/>
                          <w:color w:val="2E75B6" w:themeColor="accent1" w:themeShade="BF"/>
                          <w:sz w:val="28"/>
                          <w:szCs w:val="28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E7E6E6" w:themeColor="background2"/>
                          <w:sz w:val="28"/>
                          <w:szCs w:val="28"/>
                          <w:highlight w:val="none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53EB0"/>
    <w:multiLevelType w:val="singleLevel"/>
    <w:tmpl w:val="66753EB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B36E1"/>
    <w:rsid w:val="015C55BB"/>
    <w:rsid w:val="0326635D"/>
    <w:rsid w:val="05C23B95"/>
    <w:rsid w:val="06242E63"/>
    <w:rsid w:val="08EC6629"/>
    <w:rsid w:val="0BC671E1"/>
    <w:rsid w:val="0BF20A25"/>
    <w:rsid w:val="0C363B08"/>
    <w:rsid w:val="0CC85DA4"/>
    <w:rsid w:val="0E6A0D7F"/>
    <w:rsid w:val="0EEB36E1"/>
    <w:rsid w:val="12131B2E"/>
    <w:rsid w:val="13495B00"/>
    <w:rsid w:val="166E3AF8"/>
    <w:rsid w:val="198227A4"/>
    <w:rsid w:val="1BCA4C31"/>
    <w:rsid w:val="1C676CBE"/>
    <w:rsid w:val="1D976AF4"/>
    <w:rsid w:val="1ED552C4"/>
    <w:rsid w:val="1F655BFE"/>
    <w:rsid w:val="21AD638E"/>
    <w:rsid w:val="26395C81"/>
    <w:rsid w:val="26422B08"/>
    <w:rsid w:val="28903F8E"/>
    <w:rsid w:val="29662CBE"/>
    <w:rsid w:val="2A9B79D7"/>
    <w:rsid w:val="2AAF463D"/>
    <w:rsid w:val="2B172CE8"/>
    <w:rsid w:val="2DC42486"/>
    <w:rsid w:val="32727C98"/>
    <w:rsid w:val="35E321AF"/>
    <w:rsid w:val="37B3485C"/>
    <w:rsid w:val="38A93BD4"/>
    <w:rsid w:val="4015137E"/>
    <w:rsid w:val="407B3303"/>
    <w:rsid w:val="40A14DB7"/>
    <w:rsid w:val="42C66FE9"/>
    <w:rsid w:val="42EB6ABE"/>
    <w:rsid w:val="46467DE4"/>
    <w:rsid w:val="474719FB"/>
    <w:rsid w:val="47F10507"/>
    <w:rsid w:val="49AD28B3"/>
    <w:rsid w:val="4C6A04D7"/>
    <w:rsid w:val="4CC0114C"/>
    <w:rsid w:val="53BE4C63"/>
    <w:rsid w:val="545021EE"/>
    <w:rsid w:val="596A7F58"/>
    <w:rsid w:val="5ADD0223"/>
    <w:rsid w:val="60CF0B71"/>
    <w:rsid w:val="651C388F"/>
    <w:rsid w:val="659E6FE8"/>
    <w:rsid w:val="66700AFE"/>
    <w:rsid w:val="668D5C1E"/>
    <w:rsid w:val="67A2573B"/>
    <w:rsid w:val="68E54760"/>
    <w:rsid w:val="6AB64F4E"/>
    <w:rsid w:val="6BF97DA7"/>
    <w:rsid w:val="70FA41AF"/>
    <w:rsid w:val="728F1627"/>
    <w:rsid w:val="77A77E1D"/>
    <w:rsid w:val="795F3583"/>
    <w:rsid w:val="7AFA3310"/>
    <w:rsid w:val="7B274616"/>
    <w:rsid w:val="7B2B0B1D"/>
    <w:rsid w:val="7B416B71"/>
    <w:rsid w:val="7EEA2F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2024-07-25T00:38:00Z</dcterms:created>
  <dc:creator>admin</dc:creator>
  <cp:lastModifiedBy>admin</cp:lastModifiedBy>
  <dcterms:modified xsi:type="dcterms:W3CDTF">2024-08-14T09:01:58Z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